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EE9D78">
      <w:pPr>
        <w:pStyle w:val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DJEČJI VRTIĆ IVANČICA-LOBOR</w:t>
      </w:r>
    </w:p>
    <w:p w14:paraId="30745B57">
      <w:pPr>
        <w:pStyle w:val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LOBOR</w:t>
      </w:r>
    </w:p>
    <w:p w14:paraId="1D03B6DB">
      <w:pPr>
        <w:pStyle w:val="6"/>
        <w:rPr>
          <w:rFonts w:ascii="Times New Roman" w:hAnsi="Times New Roman" w:cs="Times New Roman"/>
        </w:rPr>
      </w:pPr>
    </w:p>
    <w:p w14:paraId="6D3F835A">
      <w:pPr>
        <w:pStyle w:val="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OBRAZLOŽENJE GODIŠNJEG IZVJEŠTAJA  O  IZVRŠENJU FINANCIJSKOG PLANA </w:t>
      </w:r>
    </w:p>
    <w:p w14:paraId="53F56026">
      <w:pPr>
        <w:pStyle w:val="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 2025. GODINU</w:t>
      </w:r>
    </w:p>
    <w:p w14:paraId="79B59527">
      <w:pPr>
        <w:pStyle w:val="6"/>
        <w:jc w:val="center"/>
        <w:rPr>
          <w:rFonts w:ascii="Times New Roman" w:hAnsi="Times New Roman" w:cs="Times New Roman"/>
        </w:rPr>
      </w:pPr>
    </w:p>
    <w:p w14:paraId="704B1CD5">
      <w:pPr>
        <w:pStyle w:val="6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OBRAZLOŽENJE OPĆEG DIJELA FINANCIJSKOG PLANA</w:t>
      </w:r>
    </w:p>
    <w:p w14:paraId="62F5ECEC">
      <w:pPr>
        <w:pStyle w:val="6"/>
        <w:rPr>
          <w:rFonts w:ascii="Times New Roman" w:hAnsi="Times New Roman" w:cs="Times New Roman"/>
        </w:rPr>
      </w:pPr>
    </w:p>
    <w:p w14:paraId="0B5305DB">
      <w:pPr>
        <w:pStyle w:val="6"/>
        <w:ind w:left="708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Obrazloženje ostvarenja prihoda i rashoda, primitaka i izdataka:</w:t>
      </w:r>
    </w:p>
    <w:p w14:paraId="755F110B">
      <w:pPr>
        <w:pStyle w:val="6"/>
        <w:ind w:left="708"/>
        <w:rPr>
          <w:rFonts w:ascii="Times New Roman" w:hAnsi="Times New Roman" w:cs="Times New Roman"/>
          <w:u w:val="single"/>
        </w:rPr>
      </w:pPr>
    </w:p>
    <w:p w14:paraId="2E15CE4D">
      <w:pPr>
        <w:pStyle w:val="6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PRIHODI:</w:t>
      </w:r>
    </w:p>
    <w:p w14:paraId="7CF8966D">
      <w:pPr>
        <w:pStyle w:val="6"/>
        <w:rPr>
          <w:rFonts w:ascii="Times New Roman" w:hAnsi="Times New Roman" w:cs="Times New Roman"/>
        </w:rPr>
      </w:pPr>
    </w:p>
    <w:p w14:paraId="73FAD613">
      <w:pPr>
        <w:pStyle w:val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Ukupni godišnji prihodi planirani su u iznosu 492.000,00 €, rebalansom su povećani na 506.716,29 €, a izvršeni su u iznosu 455.781,08 €, odnosno 89,95 %. U odnosu na izvršenje za 1-12/2024 prihodi su veći za 9,89 %, a to je rezultat povećanja svih rashoda</w:t>
      </w:r>
      <w:r>
        <w:rPr>
          <w:rFonts w:hint="default" w:ascii="Times New Roman" w:hAnsi="Times New Roman" w:cs="Times New Roman"/>
          <w:lang w:val="hr-HR"/>
        </w:rPr>
        <w:t xml:space="preserve">, </w:t>
      </w:r>
      <w:r>
        <w:rPr>
          <w:rFonts w:ascii="Times New Roman" w:hAnsi="Times New Roman" w:cs="Times New Roman"/>
        </w:rPr>
        <w:t>prvenstveno za bruto plaće.</w:t>
      </w:r>
    </w:p>
    <w:p w14:paraId="0D79781C">
      <w:pPr>
        <w:pStyle w:val="6"/>
        <w:rPr>
          <w:rFonts w:ascii="Times New Roman" w:hAnsi="Times New Roman" w:cs="Times New Roman"/>
        </w:rPr>
      </w:pPr>
    </w:p>
    <w:p w14:paraId="1F8DECA9">
      <w:pPr>
        <w:pStyle w:val="6"/>
        <w:rPr>
          <w:rFonts w:hint="default" w:ascii="Times New Roman" w:hAnsi="Times New Roman" w:cs="Times New Roman"/>
          <w:lang w:val="hr-HR"/>
        </w:rPr>
      </w:pPr>
      <w:r>
        <w:rPr>
          <w:rFonts w:ascii="Times New Roman" w:hAnsi="Times New Roman" w:cs="Times New Roman"/>
        </w:rPr>
        <w:t xml:space="preserve">Pomoći su ostvarene sa 99,77 % što je u skladu s planom. U odnosu na prošlu godinu to je smanjenje za 47,76 % zbog smanjenja za četvero djece iz drugih općina i gradova (Zlatar) te </w:t>
      </w:r>
      <w:r>
        <w:rPr>
          <w:rFonts w:hint="default" w:ascii="Times New Roman" w:hAnsi="Times New Roman" w:cs="Times New Roman"/>
          <w:lang w:val="hr-HR"/>
        </w:rPr>
        <w:t>su</w:t>
      </w:r>
      <w:r>
        <w:rPr>
          <w:rFonts w:ascii="Times New Roman" w:hAnsi="Times New Roman" w:cs="Times New Roman"/>
        </w:rPr>
        <w:t xml:space="preserve"> u 2024</w:t>
      </w:r>
      <w:r>
        <w:rPr>
          <w:rFonts w:hint="default" w:ascii="Times New Roman" w:hAnsi="Times New Roman" w:cs="Times New Roman"/>
          <w:lang w:val="hr-HR"/>
        </w:rPr>
        <w:t>. godini</w:t>
      </w:r>
      <w:r>
        <w:rPr>
          <w:rFonts w:ascii="Times New Roman" w:hAnsi="Times New Roman" w:cs="Times New Roman"/>
        </w:rPr>
        <w:t xml:space="preserve"> dobiven</w:t>
      </w:r>
      <w:r>
        <w:rPr>
          <w:rFonts w:hint="default" w:ascii="Times New Roman" w:hAnsi="Times New Roman" w:cs="Times New Roman"/>
          <w:lang w:val="hr-HR"/>
        </w:rPr>
        <w:t xml:space="preserve">a sredstva u iznosu od </w:t>
      </w:r>
      <w:r>
        <w:rPr>
          <w:rFonts w:ascii="Times New Roman" w:hAnsi="Times New Roman" w:cs="Times New Roman"/>
        </w:rPr>
        <w:t>19.567,27 € pomoći od Hrvatskog zavoda za zapošljavanje za jednog pripravnika, dok toga  u 2025. g</w:t>
      </w:r>
      <w:r>
        <w:rPr>
          <w:rFonts w:hint="default" w:ascii="Times New Roman" w:hAnsi="Times New Roman" w:cs="Times New Roman"/>
          <w:lang w:val="hr-HR"/>
        </w:rPr>
        <w:t>odini nije bilo.</w:t>
      </w:r>
    </w:p>
    <w:p w14:paraId="23A9E0B8">
      <w:pPr>
        <w:pStyle w:val="6"/>
        <w:rPr>
          <w:rFonts w:ascii="Times New Roman" w:hAnsi="Times New Roman" w:cs="Times New Roman"/>
        </w:rPr>
      </w:pPr>
    </w:p>
    <w:p w14:paraId="0C704955">
      <w:pPr>
        <w:spacing w:after="0" w:line="240" w:lineRule="auto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Prihodi od roditelja su ostvareni sa 112.900,16 € od planiranih 114.000,00 ili 99,04 % što je također u skladu s planom.  To je </w:t>
      </w:r>
      <w:r>
        <w:rPr>
          <w:rFonts w:ascii="Times New Roman" w:hAnsi="Times New Roman" w:eastAsia="Times New Roman" w:cs="Times New Roman"/>
          <w:sz w:val="22"/>
          <w:szCs w:val="22"/>
        </w:rPr>
        <w:t>nešto manje u odnosu na 2024. jer je u vrtiću bilo prosječno dvoje djece manje u odnosu na prošlu godinu.</w:t>
      </w:r>
    </w:p>
    <w:p w14:paraId="6B92226C">
      <w:pPr>
        <w:pStyle w:val="6"/>
        <w:rPr>
          <w:rFonts w:ascii="Times New Roman" w:hAnsi="Times New Roman" w:cs="Times New Roman"/>
        </w:rPr>
      </w:pPr>
    </w:p>
    <w:p w14:paraId="7716A7F3">
      <w:pPr>
        <w:pStyle w:val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Planirani prihodi od nadležnog proračuna su 362.716,29  €, a izvršeni su u iznosu 312.782,85 €, odnosno 86,23 %. Manje ostvarenje je iz razloga što općina doznačuje sredstva za isplatu plaća za prosinac i svih računa  u siječnju slijedeće godine, a svi ti troškovi se knjiže u prosincu, pa da bi se ti troškovi pokrili u planu, moraju se planirati i prihodi, makar bili realizirani u siječnju. U planu se mora planirati i pokriće prenesenog manjka iz prethodne godine koji za 2024. g. iznosi 23.716,.29 €, a općina nije doznačila sredstva za pokriće tog manjka.</w:t>
      </w:r>
    </w:p>
    <w:p w14:paraId="37AE38C8">
      <w:pPr>
        <w:pStyle w:val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ovim prihodima je i dio koji </w:t>
      </w:r>
      <w:r>
        <w:rPr>
          <w:rFonts w:hint="default" w:ascii="Times New Roman" w:hAnsi="Times New Roman" w:cs="Times New Roman"/>
          <w:lang w:val="hr-HR"/>
        </w:rPr>
        <w:t>O</w:t>
      </w:r>
      <w:r>
        <w:rPr>
          <w:rFonts w:ascii="Times New Roman" w:hAnsi="Times New Roman" w:cs="Times New Roman"/>
        </w:rPr>
        <w:t xml:space="preserve">pćina </w:t>
      </w:r>
      <w:r>
        <w:rPr>
          <w:rFonts w:hint="default" w:ascii="Times New Roman" w:hAnsi="Times New Roman" w:cs="Times New Roman"/>
          <w:lang w:val="hr-HR"/>
        </w:rPr>
        <w:t xml:space="preserve">Lobor </w:t>
      </w:r>
      <w:r>
        <w:rPr>
          <w:rFonts w:ascii="Times New Roman" w:hAnsi="Times New Roman" w:cs="Times New Roman"/>
        </w:rPr>
        <w:t>dobiva za fiskalnu održivost vrtića, a to iznosi 125.040,00 €.</w:t>
      </w:r>
    </w:p>
    <w:p w14:paraId="584C99F2">
      <w:pPr>
        <w:pStyle w:val="6"/>
        <w:rPr>
          <w:rFonts w:ascii="Times New Roman" w:hAnsi="Times New Roman" w:cs="Times New Roman"/>
          <w:sz w:val="22"/>
          <w:szCs w:val="22"/>
        </w:rPr>
      </w:pPr>
    </w:p>
    <w:p w14:paraId="2F099371">
      <w:pPr>
        <w:pStyle w:val="6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RASHODI:</w:t>
      </w:r>
    </w:p>
    <w:p w14:paraId="58E69C47">
      <w:pPr>
        <w:pStyle w:val="6"/>
        <w:rPr>
          <w:rFonts w:ascii="Times New Roman" w:hAnsi="Times New Roman" w:cs="Times New Roman"/>
          <w:sz w:val="22"/>
          <w:szCs w:val="22"/>
        </w:rPr>
      </w:pPr>
    </w:p>
    <w:p w14:paraId="2A3360B0">
      <w:pPr>
        <w:pStyle w:val="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Ukupni rashodi ostvareni su sa 463.691,70 €, ili 96,00 %. Iz toga se zaključuje da su rashodi prilično dobro planirani. U odnosu na prethodnu godinu veći su za 11,90 % što je rezultat svih povećanih troškova (rast osnovice za plaće 202</w:t>
      </w:r>
      <w:r>
        <w:rPr>
          <w:rFonts w:hint="default" w:ascii="Times New Roman" w:hAnsi="Times New Roman" w:cs="Times New Roman"/>
          <w:sz w:val="22"/>
          <w:szCs w:val="22"/>
          <w:lang w:val="hr-HR"/>
        </w:rPr>
        <w:t>5</w:t>
      </w:r>
      <w:r>
        <w:rPr>
          <w:rFonts w:ascii="Times New Roman" w:hAnsi="Times New Roman" w:cs="Times New Roman"/>
          <w:sz w:val="22"/>
          <w:szCs w:val="22"/>
        </w:rPr>
        <w:t>. g. rast koeficijenata za plaće, rast cijena materijala).</w:t>
      </w:r>
    </w:p>
    <w:p w14:paraId="64E42D13">
      <w:pPr>
        <w:pStyle w:val="6"/>
        <w:rPr>
          <w:rFonts w:ascii="Times New Roman" w:hAnsi="Times New Roman" w:cs="Times New Roman"/>
          <w:sz w:val="22"/>
          <w:szCs w:val="22"/>
        </w:rPr>
      </w:pPr>
    </w:p>
    <w:p w14:paraId="234FACBB">
      <w:pPr>
        <w:pStyle w:val="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Troškovi bruto plaća</w:t>
      </w:r>
      <w:r>
        <w:rPr>
          <w:rFonts w:ascii="Times New Roman" w:hAnsi="Times New Roman" w:cs="Times New Roman"/>
          <w:sz w:val="22"/>
          <w:szCs w:val="22"/>
        </w:rPr>
        <w:t xml:space="preserve"> izvršeni su sa 98,48 %, što je malo ispod plana jer je to teško planirati s obzirom na</w:t>
      </w:r>
      <w:r>
        <w:rPr>
          <w:rFonts w:hint="default" w:ascii="Times New Roman" w:hAnsi="Times New Roman" w:cs="Times New Roman"/>
          <w:sz w:val="22"/>
          <w:szCs w:val="22"/>
          <w:lang w:val="hr-HR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odlazaka radnika ili novog zapošljavanja, </w:t>
      </w:r>
      <w:r>
        <w:rPr>
          <w:rFonts w:hint="default" w:ascii="Times New Roman" w:hAnsi="Times New Roman" w:cs="Times New Roman"/>
          <w:sz w:val="22"/>
          <w:szCs w:val="22"/>
          <w:lang w:val="hr-HR"/>
        </w:rPr>
        <w:t xml:space="preserve">polaganja stručnih ispita i sl. </w:t>
      </w:r>
      <w:r>
        <w:rPr>
          <w:rFonts w:ascii="Times New Roman" w:hAnsi="Times New Roman" w:cs="Times New Roman"/>
          <w:sz w:val="22"/>
          <w:szCs w:val="22"/>
        </w:rPr>
        <w:t>pa se ne zna stručna sprema novog radnika o čemu znatno ovisi visina plaće.</w:t>
      </w:r>
    </w:p>
    <w:p w14:paraId="3DE8019E">
      <w:pPr>
        <w:pStyle w:val="6"/>
        <w:rPr>
          <w:rFonts w:ascii="Times New Roman" w:hAnsi="Times New Roman" w:cs="Times New Roman"/>
          <w:sz w:val="22"/>
          <w:szCs w:val="22"/>
        </w:rPr>
      </w:pPr>
    </w:p>
    <w:p w14:paraId="2E808B01">
      <w:pPr>
        <w:pStyle w:val="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Doprinos za zdravstveno osiguranje</w:t>
      </w:r>
      <w:r>
        <w:rPr>
          <w:rFonts w:ascii="Times New Roman" w:hAnsi="Times New Roman" w:cs="Times New Roman"/>
          <w:sz w:val="22"/>
          <w:szCs w:val="22"/>
        </w:rPr>
        <w:t xml:space="preserve"> je izvršen sa 95.77 % od plana, što je u skladu s isplaćenim bruto plaćama.</w:t>
      </w:r>
    </w:p>
    <w:p w14:paraId="26118C89">
      <w:pPr>
        <w:pStyle w:val="6"/>
        <w:rPr>
          <w:rFonts w:ascii="Times New Roman" w:hAnsi="Times New Roman" w:cs="Times New Roman"/>
          <w:sz w:val="22"/>
          <w:szCs w:val="22"/>
        </w:rPr>
      </w:pPr>
    </w:p>
    <w:p w14:paraId="5D7DBA36">
      <w:pPr>
        <w:pStyle w:val="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Naknade troškova zaposlenicima</w:t>
      </w:r>
      <w:r>
        <w:rPr>
          <w:rFonts w:ascii="Times New Roman" w:hAnsi="Times New Roman" w:cs="Times New Roman"/>
          <w:sz w:val="22"/>
          <w:szCs w:val="22"/>
        </w:rPr>
        <w:t xml:space="preserve"> izvršene su sa 96,06 %. Najveća stavka u tome su troškovi dolaska na posao i odlaska s posla koji su izvršeni sa 95,49 %. Iznad plana su izvršeni rashodi za ostale naknade zaposlenicima, a to su naknada za korištenje privatnog automobila u službene svrhe.</w:t>
      </w:r>
    </w:p>
    <w:p w14:paraId="34B4711E">
      <w:pPr>
        <w:pStyle w:val="6"/>
        <w:rPr>
          <w:rFonts w:ascii="Times New Roman" w:hAnsi="Times New Roman" w:cs="Times New Roman"/>
          <w:sz w:val="22"/>
          <w:szCs w:val="22"/>
        </w:rPr>
      </w:pPr>
    </w:p>
    <w:p w14:paraId="7F1B7BD4">
      <w:pPr>
        <w:spacing w:after="0" w:line="240" w:lineRule="auto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Rashodi za materijal i energiju</w:t>
      </w:r>
      <w:r>
        <w:rPr>
          <w:rFonts w:ascii="Times New Roman" w:hAnsi="Times New Roman" w:cs="Times New Roman"/>
          <w:sz w:val="22"/>
          <w:szCs w:val="22"/>
        </w:rPr>
        <w:t xml:space="preserve"> su izvršeni sa 90,84 %. Ispod plana su izvršeni rashodi za uredski materijal (86,02%), materijal i sirovine – namirnice (91,90 %), materijal i dijelove za tekuće održavanje (74,33%), energiju (86,70 %). U odnosu na 2024. g. ti rashodi su povećani za 9,94 %. Troškovi energije su u odnosu na 2024. g. rasli za 27,32 %, a do rasta je došlo zbog smanjivanja državne subvencije. </w:t>
      </w:r>
      <w:r>
        <w:rPr>
          <w:rFonts w:ascii="Times New Roman" w:hAnsi="Times New Roman" w:eastAsia="Times New Roman" w:cs="Times New Roman"/>
          <w:sz w:val="22"/>
          <w:szCs w:val="22"/>
        </w:rPr>
        <w:t>Iznos računa za plin direktno ovisi o vremenskim uvjetima, tako je račun za plin za siječanj 2024. iznosio 1.060,06 €, a za siječanj 2025. iznosi 1.572,46 €. Račun za veljaču 2024. iznosio je 519,04 €, a za veljaču 2025. čak 1.655,60 €.</w:t>
      </w:r>
    </w:p>
    <w:p w14:paraId="1CE149AB">
      <w:pPr>
        <w:pStyle w:val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62FBEA68">
      <w:pPr>
        <w:pStyle w:val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Rashodi za usluge</w:t>
      </w:r>
      <w:r>
        <w:rPr>
          <w:rFonts w:ascii="Times New Roman" w:hAnsi="Times New Roman" w:cs="Times New Roman"/>
        </w:rPr>
        <w:t xml:space="preserve"> izvršeni su malo ispod plana, tj. sa 92,20 %. Ukupni rashodi za usluge nisu porasli u odnosu na prošlu godinu, no neke od tih usluga jesu. Tako npr. usluge tekućeg održavanja su porasle za 18,31 %, a to iz razloga što je tapecirani namještaj dat na presvlačenje zbog pohabanosti. </w:t>
      </w:r>
    </w:p>
    <w:p w14:paraId="465D8ECE">
      <w:pPr>
        <w:pStyle w:val="6"/>
        <w:rPr>
          <w:rFonts w:ascii="Times New Roman" w:hAnsi="Times New Roman" w:cs="Times New Roman"/>
        </w:rPr>
      </w:pPr>
    </w:p>
    <w:p w14:paraId="64CE1B63">
      <w:pPr>
        <w:pStyle w:val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Rashodi za nabavu</w:t>
      </w:r>
      <w:r>
        <w:rPr>
          <w:rFonts w:ascii="Times New Roman" w:hAnsi="Times New Roman" w:cs="Times New Roman"/>
        </w:rPr>
        <w:t xml:space="preserve"> imovine izvršeni su sa 28,92 %. Nabavljen je samo novi mob</w:t>
      </w:r>
      <w:bookmarkStart w:id="0" w:name="_GoBack"/>
      <w:bookmarkEnd w:id="0"/>
      <w:r>
        <w:rPr>
          <w:rFonts w:ascii="Times New Roman" w:hAnsi="Times New Roman" w:cs="Times New Roman"/>
        </w:rPr>
        <w:t>itel.</w:t>
      </w:r>
    </w:p>
    <w:p w14:paraId="7F08CCEF">
      <w:pPr>
        <w:pStyle w:val="6"/>
        <w:rPr>
          <w:rFonts w:ascii="Times New Roman" w:hAnsi="Times New Roman" w:cs="Times New Roman"/>
        </w:rPr>
      </w:pPr>
    </w:p>
    <w:p w14:paraId="1E524029">
      <w:pPr>
        <w:pStyle w:val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MANJAK / VIŠAK</w:t>
      </w:r>
    </w:p>
    <w:p w14:paraId="6DCD22D2">
      <w:pPr>
        <w:pStyle w:val="6"/>
        <w:rPr>
          <w:rFonts w:ascii="Times New Roman" w:hAnsi="Times New Roman" w:cs="Times New Roman"/>
        </w:rPr>
      </w:pPr>
    </w:p>
    <w:p w14:paraId="72F276FF">
      <w:pPr>
        <w:pStyle w:val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Preneseni manjak iz prethodne godine iznosi  23.716,29  €. </w:t>
      </w:r>
    </w:p>
    <w:p w14:paraId="353F898B">
      <w:pPr>
        <w:pStyle w:val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manjka u prošloj godini je došlo iz razloga što se troškovi plaća za 12/24 i svi materijalni troškovi knjiže u razdoblju u kojem su nastali, a sredstva za isplatu su stigla u siječnju 2025. godine i knjiže se u razdoblje u kojem su stigla.</w:t>
      </w:r>
    </w:p>
    <w:p w14:paraId="2B86A4CE">
      <w:pPr>
        <w:pStyle w:val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razdoblje 1-12/2025 godinu ostvaren je manjak od  7.910,62  € tako da manjak za prijenos u slijedeće razdoblje iznosi 31.626,91 €.</w:t>
      </w:r>
    </w:p>
    <w:p w14:paraId="220E025F">
      <w:pPr>
        <w:pStyle w:val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E7793A1">
      <w:pPr>
        <w:pStyle w:val="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STANJE NOVČANIH SREDSTAVA:</w:t>
      </w:r>
    </w:p>
    <w:p w14:paraId="144C50F2">
      <w:pPr>
        <w:pStyle w:val="6"/>
        <w:rPr>
          <w:rFonts w:ascii="Times New Roman" w:hAnsi="Times New Roman" w:cs="Times New Roman"/>
          <w:b/>
        </w:rPr>
      </w:pPr>
    </w:p>
    <w:p w14:paraId="4F8A1587">
      <w:pPr>
        <w:pStyle w:val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Stanje novčanih sredstava na računu: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01.01.2025.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12 .226,88 €</w:t>
      </w:r>
    </w:p>
    <w:p w14:paraId="17C0AF19">
      <w:pPr>
        <w:pStyle w:val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31.12.2025.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4.818,96 €.</w:t>
      </w:r>
    </w:p>
    <w:p w14:paraId="41098379">
      <w:pPr>
        <w:pStyle w:val="6"/>
        <w:rPr>
          <w:rFonts w:ascii="Times New Roman" w:hAnsi="Times New Roman" w:cs="Times New Roman"/>
        </w:rPr>
      </w:pPr>
    </w:p>
    <w:p w14:paraId="23AB3EF3">
      <w:pPr>
        <w:pStyle w:val="6"/>
        <w:rPr>
          <w:rFonts w:ascii="Times New Roman" w:hAnsi="Times New Roman" w:cs="Times New Roman"/>
        </w:rPr>
      </w:pPr>
    </w:p>
    <w:p w14:paraId="0467D7D5">
      <w:pPr>
        <w:pStyle w:val="6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OBRAZLOŽENJE POSEBNOG DIJELA PLANA</w:t>
      </w:r>
    </w:p>
    <w:p w14:paraId="38D307D6">
      <w:pPr>
        <w:pStyle w:val="6"/>
        <w:rPr>
          <w:rFonts w:ascii="Times New Roman" w:hAnsi="Times New Roman" w:cs="Times New Roman"/>
        </w:rPr>
      </w:pPr>
    </w:p>
    <w:p w14:paraId="51F017B8">
      <w:pPr>
        <w:pStyle w:val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Što se tiče financijskog dijela plana, to je izvršeno u skladu s planom. </w:t>
      </w:r>
    </w:p>
    <w:p w14:paraId="2AF58570">
      <w:pPr>
        <w:pStyle w:val="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Cilj Dječjeg vrtića  je provoditi redoviti desetsatni program njege, odgoja, obrazovanja, zdravstvene zaštite, prehrane i socijalne skrbi djece rane i predškolske dobi koji je prilagođen razvojnim potrebama djece te njihovim mogućnostima i potrebama.</w:t>
      </w:r>
    </w:p>
    <w:p w14:paraId="0360CC58">
      <w:pPr>
        <w:pStyle w:val="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Kako bi ustanova kvalitetno provodila program, važno je da u njoj rade kompetentni odgojno-obrazovni djelatnici, efikasnog inicijalnog obrazovanja s kontinuiranim profesionalnim razvojem. Kvaliteta i napredovanje dolaze intrinzičnom motivacijom za što će podršku dobiti osiguranjem primjerenog profesionalnog učenja. I taj cilj je postignut tj. vrtić je u potpunosti ekipiran stručnim kadrom.</w:t>
      </w:r>
    </w:p>
    <w:p w14:paraId="4E2CBC02">
      <w:pPr>
        <w:pStyle w:val="6"/>
        <w:rPr>
          <w:rFonts w:ascii="Times New Roman" w:hAnsi="Times New Roman" w:cs="Times New Roman"/>
        </w:rPr>
      </w:pPr>
    </w:p>
    <w:p w14:paraId="24DB4036">
      <w:pPr>
        <w:pStyle w:val="6"/>
        <w:rPr>
          <w:rFonts w:ascii="Times New Roman" w:hAnsi="Times New Roman" w:cs="Times New Roman"/>
        </w:rPr>
      </w:pPr>
    </w:p>
    <w:p w14:paraId="1E96AA79">
      <w:pPr>
        <w:pStyle w:val="6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POSEBNI IZVJEŠTAJ </w:t>
      </w:r>
    </w:p>
    <w:p w14:paraId="2F65DE9E">
      <w:pPr>
        <w:pStyle w:val="6"/>
        <w:rPr>
          <w:rFonts w:ascii="Times New Roman" w:hAnsi="Times New Roman" w:cs="Times New Roman"/>
        </w:rPr>
      </w:pPr>
    </w:p>
    <w:p w14:paraId="0F9AEB4A">
      <w:pPr>
        <w:pStyle w:val="6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Izvještaj o zaduživanju na domaćem i stranom tržištu novca i kapitala</w:t>
      </w:r>
    </w:p>
    <w:p w14:paraId="20BAC582">
      <w:pPr>
        <w:pStyle w:val="6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Vrtić se nije zaduživao na domaćem i stranom tržištu novca i kapitala u razdoblju 1-12/2025. godini.</w:t>
      </w:r>
    </w:p>
    <w:p w14:paraId="278F6C1D">
      <w:pPr>
        <w:pStyle w:val="6"/>
        <w:rPr>
          <w:rFonts w:ascii="Times New Roman" w:hAnsi="Times New Roman" w:cs="Times New Roman"/>
        </w:rPr>
      </w:pPr>
    </w:p>
    <w:p w14:paraId="7AE4ED8A">
      <w:pPr>
        <w:pStyle w:val="6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Izvještaj o korištenju sredstava fondova Europske unije</w:t>
      </w:r>
    </w:p>
    <w:p w14:paraId="3F2F2256">
      <w:pPr>
        <w:pStyle w:val="6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Vrtić nije koristio sredstva fondova Europske unije.</w:t>
      </w:r>
    </w:p>
    <w:p w14:paraId="3A060E8D">
      <w:pPr>
        <w:pStyle w:val="6"/>
        <w:rPr>
          <w:rFonts w:ascii="Times New Roman" w:hAnsi="Times New Roman" w:cs="Times New Roman"/>
        </w:rPr>
      </w:pPr>
    </w:p>
    <w:p w14:paraId="2D944910">
      <w:pPr>
        <w:pStyle w:val="6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Izvještaj o danim zajmovima i potraživanjima po danim zajmovima</w:t>
      </w:r>
    </w:p>
    <w:p w14:paraId="3A28A6C7">
      <w:pPr>
        <w:pStyle w:val="6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Vrtić nije davao zajmove i nije imao potraživanja po danim zajmovima u razdoblju 1-12/2025. godine.</w:t>
      </w:r>
    </w:p>
    <w:p w14:paraId="543199ED">
      <w:pPr>
        <w:pStyle w:val="6"/>
        <w:rPr>
          <w:rFonts w:ascii="Times New Roman" w:hAnsi="Times New Roman" w:cs="Times New Roman"/>
        </w:rPr>
      </w:pPr>
    </w:p>
    <w:p w14:paraId="5463573F">
      <w:pPr>
        <w:pStyle w:val="6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Izvještaj o stanju potraživanja i dospjelih obveza te o stanju potencijalnih obveza po osnovi sudskih sporova</w:t>
      </w:r>
    </w:p>
    <w:p w14:paraId="58B041FA">
      <w:pPr>
        <w:pStyle w:val="6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Stanje nenaplaćenih potraživanja na dan 31.12.2025.: nema potraživanja</w:t>
      </w:r>
    </w:p>
    <w:p w14:paraId="3860071A">
      <w:pPr>
        <w:pStyle w:val="6"/>
        <w:rPr>
          <w:rFonts w:ascii="Times New Roman" w:hAnsi="Times New Roman" w:cs="Times New Roman"/>
        </w:rPr>
      </w:pPr>
    </w:p>
    <w:p w14:paraId="281B6FBF">
      <w:pPr>
        <w:pStyle w:val="6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Stanje nepodmirenih dospjelih obveza na dan 31.12.2024.: nema nepodmirenih dospjelih obveza.</w:t>
      </w:r>
    </w:p>
    <w:p w14:paraId="5631E266">
      <w:pPr>
        <w:pStyle w:val="6"/>
        <w:ind w:left="360"/>
        <w:rPr>
          <w:rFonts w:ascii="Times New Roman" w:hAnsi="Times New Roman" w:cs="Times New Roman"/>
        </w:rPr>
      </w:pPr>
    </w:p>
    <w:p w14:paraId="66F0C6BE">
      <w:pPr>
        <w:pStyle w:val="6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Stanje potencijalnih obveza po osnovi sudskih sporova: nema sudskih sporova.</w:t>
      </w:r>
    </w:p>
    <w:p w14:paraId="20DA7E59">
      <w:pPr>
        <w:pStyle w:val="6"/>
        <w:rPr>
          <w:rFonts w:ascii="Times New Roman" w:hAnsi="Times New Roman" w:cs="Times New Roman"/>
        </w:rPr>
      </w:pPr>
    </w:p>
    <w:p w14:paraId="47C3007E">
      <w:pPr>
        <w:pStyle w:val="6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Izvještaj o danim jamstvima i plaćanjima po protestiranim jamstvima</w:t>
      </w:r>
    </w:p>
    <w:p w14:paraId="52130C5A">
      <w:pPr>
        <w:pStyle w:val="6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Vrtić nije davao jamstva i nije imao plaćanja po protestiranim jamstvima u razdoblju 1-12/2025. godine.</w:t>
      </w:r>
    </w:p>
    <w:p w14:paraId="1D067D52">
      <w:pPr>
        <w:pStyle w:val="6"/>
        <w:rPr>
          <w:rFonts w:ascii="Times New Roman" w:hAnsi="Times New Roman" w:cs="Times New Roman"/>
        </w:rPr>
      </w:pPr>
    </w:p>
    <w:p w14:paraId="38F5CCAE">
      <w:pPr>
        <w:pStyle w:val="6"/>
        <w:rPr>
          <w:rFonts w:ascii="Times New Roman" w:hAnsi="Times New Roman" w:cs="Times New Roman"/>
        </w:rPr>
      </w:pPr>
    </w:p>
    <w:p w14:paraId="66445633">
      <w:pPr>
        <w:pStyle w:val="6"/>
        <w:rPr>
          <w:rFonts w:ascii="Times New Roman" w:hAnsi="Times New Roman" w:cs="Times New Roman"/>
        </w:rPr>
      </w:pPr>
    </w:p>
    <w:p w14:paraId="2DBE104E">
      <w:pPr>
        <w:pStyle w:val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Ravnateljica:</w:t>
      </w:r>
    </w:p>
    <w:p w14:paraId="6180D886">
      <w:pPr>
        <w:pStyle w:val="6"/>
        <w:rPr>
          <w:rFonts w:ascii="Times New Roman" w:hAnsi="Times New Roman" w:cs="Times New Roman"/>
        </w:rPr>
      </w:pPr>
    </w:p>
    <w:p w14:paraId="40448EAB">
      <w:pPr>
        <w:pStyle w:val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Suzana Matejaš</w:t>
      </w:r>
    </w:p>
    <w:sectPr>
      <w:pgSz w:w="11906" w:h="16838"/>
      <w:pgMar w:top="851" w:right="851" w:bottom="567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4F1044"/>
    <w:multiLevelType w:val="multilevel"/>
    <w:tmpl w:val="3B4F104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236B26"/>
    <w:multiLevelType w:val="multilevel"/>
    <w:tmpl w:val="59236B26"/>
    <w:lvl w:ilvl="0" w:tentative="0">
      <w:start w:val="4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75FC0C7E"/>
    <w:multiLevelType w:val="multilevel"/>
    <w:tmpl w:val="75FC0C7E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5CF"/>
    <w:rsid w:val="00045536"/>
    <w:rsid w:val="000509EA"/>
    <w:rsid w:val="000869E2"/>
    <w:rsid w:val="000D5500"/>
    <w:rsid w:val="00163807"/>
    <w:rsid w:val="00170B03"/>
    <w:rsid w:val="00182571"/>
    <w:rsid w:val="001971C8"/>
    <w:rsid w:val="001D3236"/>
    <w:rsid w:val="001D703E"/>
    <w:rsid w:val="002076B4"/>
    <w:rsid w:val="002255CA"/>
    <w:rsid w:val="00256C3E"/>
    <w:rsid w:val="00271BA4"/>
    <w:rsid w:val="00287FF4"/>
    <w:rsid w:val="002C38CF"/>
    <w:rsid w:val="002C4C9F"/>
    <w:rsid w:val="002E4B99"/>
    <w:rsid w:val="002F7C43"/>
    <w:rsid w:val="00327D9D"/>
    <w:rsid w:val="003403DB"/>
    <w:rsid w:val="0034310F"/>
    <w:rsid w:val="00365627"/>
    <w:rsid w:val="003828B3"/>
    <w:rsid w:val="003B1A78"/>
    <w:rsid w:val="00477341"/>
    <w:rsid w:val="004828C6"/>
    <w:rsid w:val="00502C1D"/>
    <w:rsid w:val="00511F79"/>
    <w:rsid w:val="00545AFD"/>
    <w:rsid w:val="0055157D"/>
    <w:rsid w:val="005B492C"/>
    <w:rsid w:val="005E0280"/>
    <w:rsid w:val="005E31C6"/>
    <w:rsid w:val="00617DDC"/>
    <w:rsid w:val="0065439C"/>
    <w:rsid w:val="00670717"/>
    <w:rsid w:val="0069446B"/>
    <w:rsid w:val="006A6522"/>
    <w:rsid w:val="006B00B4"/>
    <w:rsid w:val="006C3316"/>
    <w:rsid w:val="007178CB"/>
    <w:rsid w:val="00717B72"/>
    <w:rsid w:val="007204DA"/>
    <w:rsid w:val="00761AC6"/>
    <w:rsid w:val="007721CA"/>
    <w:rsid w:val="007908FE"/>
    <w:rsid w:val="00814950"/>
    <w:rsid w:val="00831431"/>
    <w:rsid w:val="00837BA6"/>
    <w:rsid w:val="00862AA2"/>
    <w:rsid w:val="00881AE2"/>
    <w:rsid w:val="008A0BB0"/>
    <w:rsid w:val="008C628B"/>
    <w:rsid w:val="008D2879"/>
    <w:rsid w:val="008E4601"/>
    <w:rsid w:val="008E6F8A"/>
    <w:rsid w:val="008F2BB7"/>
    <w:rsid w:val="009142DB"/>
    <w:rsid w:val="00914414"/>
    <w:rsid w:val="009146F9"/>
    <w:rsid w:val="00927388"/>
    <w:rsid w:val="009A2F41"/>
    <w:rsid w:val="00A32F4A"/>
    <w:rsid w:val="00A36508"/>
    <w:rsid w:val="00A50473"/>
    <w:rsid w:val="00A62294"/>
    <w:rsid w:val="00A91C19"/>
    <w:rsid w:val="00AC2ABD"/>
    <w:rsid w:val="00AC3C8C"/>
    <w:rsid w:val="00B13898"/>
    <w:rsid w:val="00B73D93"/>
    <w:rsid w:val="00B7587C"/>
    <w:rsid w:val="00B82ED7"/>
    <w:rsid w:val="00B94611"/>
    <w:rsid w:val="00BB0786"/>
    <w:rsid w:val="00BC4B1D"/>
    <w:rsid w:val="00BD0C38"/>
    <w:rsid w:val="00BD5F96"/>
    <w:rsid w:val="00C04FCC"/>
    <w:rsid w:val="00C32255"/>
    <w:rsid w:val="00C444C4"/>
    <w:rsid w:val="00C44F17"/>
    <w:rsid w:val="00C63E8D"/>
    <w:rsid w:val="00CA2962"/>
    <w:rsid w:val="00CC2CC3"/>
    <w:rsid w:val="00CF11BB"/>
    <w:rsid w:val="00CF5309"/>
    <w:rsid w:val="00CF65CF"/>
    <w:rsid w:val="00D03724"/>
    <w:rsid w:val="00D27913"/>
    <w:rsid w:val="00D41496"/>
    <w:rsid w:val="00D46063"/>
    <w:rsid w:val="00D93CB5"/>
    <w:rsid w:val="00DB121E"/>
    <w:rsid w:val="00DB31DC"/>
    <w:rsid w:val="00DC2E24"/>
    <w:rsid w:val="00DC7E5F"/>
    <w:rsid w:val="00DF6A49"/>
    <w:rsid w:val="00E67E66"/>
    <w:rsid w:val="00EC4921"/>
    <w:rsid w:val="00ED4064"/>
    <w:rsid w:val="00EE21E3"/>
    <w:rsid w:val="00F35A39"/>
    <w:rsid w:val="00F56D86"/>
    <w:rsid w:val="00F74A98"/>
    <w:rsid w:val="00FA3C2C"/>
    <w:rsid w:val="00FA6C15"/>
    <w:rsid w:val="00FC0944"/>
    <w:rsid w:val="00FC6A32"/>
    <w:rsid w:val="00FD6940"/>
    <w:rsid w:val="00FD7971"/>
    <w:rsid w:val="00FE7613"/>
    <w:rsid w:val="17E93546"/>
    <w:rsid w:val="289F314B"/>
    <w:rsid w:val="2FEA50A9"/>
    <w:rsid w:val="64A32029"/>
    <w:rsid w:val="68A512BF"/>
    <w:rsid w:val="7016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Plain Text"/>
    <w:basedOn w:val="1"/>
    <w:link w:val="7"/>
    <w:semiHidden/>
    <w:unhideWhenUsed/>
    <w:qFormat/>
    <w:uiPriority w:val="99"/>
    <w:pPr>
      <w:spacing w:after="0" w:line="240" w:lineRule="auto"/>
    </w:pPr>
    <w:rPr>
      <w:rFonts w:ascii="Calibri" w:hAnsi="Calibri"/>
      <w:szCs w:val="21"/>
    </w:rPr>
  </w:style>
  <w:style w:type="paragraph" w:styleId="6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character" w:customStyle="1" w:styleId="7">
    <w:name w:val="Obični tekst Char"/>
    <w:basedOn w:val="2"/>
    <w:link w:val="5"/>
    <w:semiHidden/>
    <w:qFormat/>
    <w:uiPriority w:val="99"/>
    <w:rPr>
      <w:rFonts w:ascii="Calibri" w:hAnsi="Calibri"/>
      <w:szCs w:val="21"/>
    </w:rPr>
  </w:style>
  <w:style w:type="character" w:customStyle="1" w:styleId="8">
    <w:name w:val="Tekst balončića Char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913</Words>
  <Characters>5209</Characters>
  <Lines>43</Lines>
  <Paragraphs>12</Paragraphs>
  <TotalTime>151</TotalTime>
  <ScaleCrop>false</ScaleCrop>
  <LinksUpToDate>false</LinksUpToDate>
  <CharactersWithSpaces>6110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2026-02-05T09:23:00Z</dcterms:created>
  <dc:creator>Stjepan Prekratić</dc:creator>
  <cp:lastModifiedBy>korisnik</cp:lastModifiedBy>
  <cp:lastPrinted>2026-02-05T14:21:00Z</cp:lastPrinted>
  <dcterms:modified xsi:type="dcterms:W3CDTF">2026-02-10T12:25:20Z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29886D43E6F94CB9859D55CADA854201_12</vt:lpwstr>
  </property>
</Properties>
</file>